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B49FC" w14:textId="77777777" w:rsidR="00990772" w:rsidRDefault="00990772">
      <w:pPr>
        <w:spacing w:line="540" w:lineRule="exact"/>
        <w:rPr>
          <w:rFonts w:ascii="仿宋_GB2312" w:eastAsia="仿宋_GB2312" w:hAnsi="楷体"/>
          <w:sz w:val="32"/>
          <w:szCs w:val="32"/>
        </w:rPr>
      </w:pPr>
    </w:p>
    <w:p w14:paraId="5B021319" w14:textId="77777777" w:rsidR="00990772" w:rsidRDefault="00000000">
      <w:pPr>
        <w:spacing w:line="5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w:t>
      </w:r>
      <w:r>
        <w:rPr>
          <w:rFonts w:ascii="方正小标宋简体" w:eastAsia="方正小标宋简体" w:hAnsi="黑体"/>
          <w:sz w:val="36"/>
          <w:szCs w:val="36"/>
        </w:rPr>
        <w:t>024</w:t>
      </w:r>
      <w:r>
        <w:rPr>
          <w:rFonts w:ascii="方正小标宋简体" w:eastAsia="方正小标宋简体" w:hAnsi="黑体" w:hint="eastAsia"/>
          <w:sz w:val="36"/>
          <w:szCs w:val="36"/>
        </w:rPr>
        <w:t>年度国家社科基金教育学重大项目</w:t>
      </w:r>
    </w:p>
    <w:p w14:paraId="79A39C04" w14:textId="77777777" w:rsidR="00990772" w:rsidRDefault="00000000">
      <w:pPr>
        <w:spacing w:line="5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选题指南</w:t>
      </w:r>
    </w:p>
    <w:p w14:paraId="14A541E9" w14:textId="77777777" w:rsidR="00990772" w:rsidRDefault="00990772">
      <w:pPr>
        <w:spacing w:beforeLines="50" w:before="156" w:afterLines="50" w:after="156" w:line="600" w:lineRule="exact"/>
        <w:jc w:val="center"/>
        <w:rPr>
          <w:rFonts w:ascii="黑体" w:eastAsia="黑体" w:hAnsi="黑体" w:cs="黑体"/>
          <w:sz w:val="30"/>
          <w:szCs w:val="30"/>
        </w:rPr>
      </w:pPr>
    </w:p>
    <w:p w14:paraId="22DE563F" w14:textId="77777777" w:rsidR="00990772" w:rsidRDefault="00000000">
      <w:pPr>
        <w:pStyle w:val="a3"/>
        <w:ind w:firstLineChars="200" w:firstLine="640"/>
        <w:rPr>
          <w:rFonts w:ascii="仿宋_GB2312" w:eastAsia="仿宋_GB2312" w:hAnsi="楷体"/>
          <w:sz w:val="32"/>
          <w:szCs w:val="32"/>
        </w:rPr>
      </w:pPr>
      <w:r>
        <w:rPr>
          <w:rFonts w:ascii="仿宋_GB2312" w:eastAsia="仿宋_GB2312" w:hAnsi="楷体" w:hint="eastAsia"/>
          <w:sz w:val="32"/>
          <w:szCs w:val="32"/>
        </w:rPr>
        <w:t>本年度对国家社科基金教育学重大项目提供指南及其意图。评审采取招标方式。投标人应着力体现指南意图内容。重大项目应用性研究一般应在2-</w:t>
      </w:r>
      <w:r>
        <w:rPr>
          <w:rFonts w:ascii="仿宋_GB2312" w:eastAsia="仿宋_GB2312" w:hAnsi="楷体"/>
          <w:sz w:val="32"/>
          <w:szCs w:val="32"/>
        </w:rPr>
        <w:t>3</w:t>
      </w:r>
      <w:r>
        <w:rPr>
          <w:rFonts w:ascii="仿宋_GB2312" w:eastAsia="仿宋_GB2312" w:hAnsi="楷体" w:hint="eastAsia"/>
          <w:sz w:val="32"/>
          <w:szCs w:val="32"/>
        </w:rPr>
        <w:t>年完成，基础性研究最长不得超过5年。</w:t>
      </w:r>
    </w:p>
    <w:p w14:paraId="469F771E" w14:textId="77777777" w:rsidR="00990772" w:rsidRDefault="00000000">
      <w:pPr>
        <w:pStyle w:val="1"/>
        <w:rPr>
          <w:rFonts w:hint="default"/>
        </w:rPr>
      </w:pPr>
      <w:r>
        <w:rPr>
          <w:rFonts w:ascii="华文中宋" w:eastAsia="华文中宋" w:hAnsi="华文中宋" w:cs="华文中宋"/>
        </w:rPr>
        <w:t>1.教育推动人口红利向人才红利转变的关键路径研究</w:t>
      </w:r>
    </w:p>
    <w:p w14:paraId="6EA997A2" w14:textId="77777777" w:rsidR="00990772" w:rsidRDefault="00000000">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hint="default"/>
        </w:rPr>
        <w:t>1</w:t>
      </w:r>
      <w:r>
        <w:rPr>
          <w:rFonts w:hAnsi="楷体"/>
        </w:rPr>
        <w:t>）</w:t>
      </w:r>
      <w:proofErr w:type="gramStart"/>
      <w:r>
        <w:rPr>
          <w:rFonts w:hAnsi="楷体"/>
        </w:rPr>
        <w:t>研判人口</w:t>
      </w:r>
      <w:proofErr w:type="gramEnd"/>
      <w:r>
        <w:rPr>
          <w:rFonts w:hAnsi="楷体"/>
        </w:rPr>
        <w:t>问题的程度和趋势；（</w:t>
      </w:r>
      <w:r>
        <w:rPr>
          <w:rFonts w:hAnsi="楷体" w:hint="default"/>
        </w:rPr>
        <w:t>2</w:t>
      </w:r>
      <w:r>
        <w:rPr>
          <w:rFonts w:hAnsi="楷体"/>
        </w:rPr>
        <w:t>）阐释中国式现代化、人口高质量发展、教育强国建设三者之间的学理；（3）研究发达国家应对人口问题的教育举措；（4）研究提高学生认知技能水平、培养创新人才的突破性举措；（5）探明教育与生育率的关系。</w:t>
      </w:r>
    </w:p>
    <w:p w14:paraId="7B2B049B" w14:textId="77777777" w:rsidR="00990772" w:rsidRDefault="00000000">
      <w:pPr>
        <w:spacing w:beforeLines="50" w:before="156" w:afterLines="50" w:after="156"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2.“十五五”教育发展环境与目标任务研究</w:t>
      </w:r>
    </w:p>
    <w:p w14:paraId="3C5C97BC" w14:textId="77777777" w:rsidR="00990772" w:rsidRDefault="00000000">
      <w:pPr>
        <w:pStyle w:val="1"/>
        <w:ind w:firstLine="643"/>
        <w:rPr>
          <w:rFonts w:hAnsi="楷体" w:hint="default"/>
        </w:rPr>
      </w:pPr>
      <w:r>
        <w:rPr>
          <w:rFonts w:ascii="楷体_GB2312" w:eastAsia="楷体_GB2312" w:hAnsi="楷体_GB2312" w:cs="楷体_GB2312"/>
          <w:b/>
          <w:bCs/>
        </w:rPr>
        <w:t>指南意图</w:t>
      </w:r>
      <w:r>
        <w:rPr>
          <w:rFonts w:hAnsi="楷体"/>
        </w:rPr>
        <w:t>：（1）总结评估“十四五”教育发展；（2）</w:t>
      </w:r>
      <w:proofErr w:type="gramStart"/>
      <w:r>
        <w:rPr>
          <w:rFonts w:hAnsi="楷体"/>
        </w:rPr>
        <w:t>研</w:t>
      </w:r>
      <w:proofErr w:type="gramEnd"/>
      <w:r>
        <w:rPr>
          <w:rFonts w:hAnsi="楷体"/>
        </w:rPr>
        <w:t>判“十五五”国际格局变化、我国经济社会发展、学龄人口变化等形势及其对教育发展的影响；（3）研究国际组织重要教育思想和发达国家重大教育战略；（4）围绕教育强国主要指标开展国际比较研究；（5）研究教育强国建设中“十五五”的阶段性目标、任务、举措和实施路径。</w:t>
      </w:r>
    </w:p>
    <w:p w14:paraId="4735D0A7" w14:textId="77777777" w:rsidR="00990772" w:rsidRDefault="00000000">
      <w:pPr>
        <w:pStyle w:val="a3"/>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lastRenderedPageBreak/>
        <w:t>3.中小学生减负的路径与机制研究</w:t>
      </w:r>
    </w:p>
    <w:p w14:paraId="769269D6" w14:textId="77777777" w:rsidR="00990772" w:rsidRDefault="00000000">
      <w:pPr>
        <w:pStyle w:val="a3"/>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总结“双减”成效，建立评估指标体系，提交评估报告；（2）建立合理学业负担的分析框架；（3）对中小学理科类教材容量、难度进行国际比较；（4）对中等收入群体的子女教育观念和行为开展调查；（5）揭示不同因素对学业负担的影响机制。</w:t>
      </w:r>
    </w:p>
    <w:p w14:paraId="69F32868" w14:textId="77777777" w:rsidR="00990772" w:rsidRDefault="00000000">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4.“中学生英才计划”跟踪评估研究</w:t>
      </w:r>
    </w:p>
    <w:p w14:paraId="30620CC0" w14:textId="77777777" w:rsidR="00990772" w:rsidRDefault="00000000">
      <w:pPr>
        <w:pStyle w:val="1"/>
        <w:ind w:firstLine="643"/>
        <w:rPr>
          <w:rFonts w:hAnsi="楷体" w:hint="default"/>
        </w:rPr>
      </w:pPr>
      <w:r>
        <w:rPr>
          <w:rFonts w:ascii="楷体_GB2312" w:eastAsia="楷体_GB2312" w:hAnsi="楷体_GB2312" w:cs="楷体_GB2312"/>
          <w:b/>
          <w:bCs/>
        </w:rPr>
        <w:t>指南意图</w:t>
      </w:r>
      <w:r>
        <w:rPr>
          <w:rFonts w:hAnsi="楷体"/>
        </w:rPr>
        <w:t>：（1）梳理计划的十年发展历史；（2）对计划的入选者进行口述研究；（3）跟踪各年度计划的入选者的后续职业发展；（4）建立创新人才培养的评估模型；（5）提出完善创新人才一贯制培养的政策建议。</w:t>
      </w:r>
    </w:p>
    <w:p w14:paraId="3C8FFBF7"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5.立足基础教育课</w:t>
      </w:r>
      <w:proofErr w:type="gramStart"/>
      <w:r>
        <w:rPr>
          <w:rFonts w:ascii="华文中宋" w:eastAsia="华文中宋" w:hAnsi="华文中宋" w:cs="华文中宋"/>
        </w:rPr>
        <w:t>改实践</w:t>
      </w:r>
      <w:proofErr w:type="gramEnd"/>
      <w:r>
        <w:rPr>
          <w:rFonts w:ascii="华文中宋" w:eastAsia="华文中宋" w:hAnsi="华文中宋" w:cs="华文中宋"/>
        </w:rPr>
        <w:t>的课程教学理论建构研究</w:t>
      </w:r>
    </w:p>
    <w:p w14:paraId="7AC200E1" w14:textId="77777777" w:rsidR="00990772" w:rsidRDefault="00000000">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研究新中国成立75周年八次课程改革的历史；（2）反思我国课程教学理论的知识生产、人才培养、教材建设等，形成学科发展报告；（3）对我国优秀教学成果蕴含的中国经验进行理论化；（4）对课程教材建设与管理的中国经验进行理论化；（5）提出中国课程教学领域的标识性概念、原创性理论、体系化知识。</w:t>
      </w:r>
    </w:p>
    <w:p w14:paraId="7FA8A2E2"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6.县域城乡教育融合发展研究</w:t>
      </w:r>
    </w:p>
    <w:p w14:paraId="037DAEB8" w14:textId="77777777" w:rsidR="00990772" w:rsidRDefault="00000000">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（1）研究乡-城、县城-省城人口和学生流动情况和趋势；（2）研究提出以县城为重要载体的县域城乡教育融合发展理论模型；（3）总结乡村小规模学校布局调整模</w:t>
      </w:r>
      <w:r>
        <w:rPr>
          <w:rFonts w:ascii="仿宋_GB2312" w:eastAsia="仿宋_GB2312" w:hAnsi="楷体" w:hint="eastAsia"/>
          <w:sz w:val="32"/>
          <w:szCs w:val="32"/>
        </w:rPr>
        <w:lastRenderedPageBreak/>
        <w:t>式及各自适用条件；（4）研究提高农村寄宿制学校办学水平举措；（5）评估县域城乡义务教育一体化水平；（6）研究“县中”发展支持措施；（7）研究利用信息技术促进城乡教育融合发展的有效路径。</w:t>
      </w:r>
    </w:p>
    <w:p w14:paraId="07A46AA4"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7.基础教育</w:t>
      </w:r>
      <w:proofErr w:type="gramStart"/>
      <w:r>
        <w:rPr>
          <w:rFonts w:ascii="华文中宋" w:eastAsia="华文中宋" w:hAnsi="华文中宋" w:cs="华文中宋"/>
        </w:rPr>
        <w:t>阶段职普融通</w:t>
      </w:r>
      <w:proofErr w:type="gramEnd"/>
      <w:r>
        <w:rPr>
          <w:rFonts w:ascii="华文中宋" w:eastAsia="华文中宋" w:hAnsi="华文中宋" w:cs="华文中宋"/>
        </w:rPr>
        <w:t>的路径与机制研究</w:t>
      </w:r>
    </w:p>
    <w:p w14:paraId="499BC5FB" w14:textId="77777777" w:rsidR="00990772" w:rsidRDefault="00000000">
      <w:pPr>
        <w:pStyle w:val="a3"/>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：（1）建立职业教育类型定位</w:t>
      </w:r>
      <w:proofErr w:type="gramStart"/>
      <w:r>
        <w:rPr>
          <w:rFonts w:ascii="仿宋_GB2312" w:eastAsia="仿宋_GB2312" w:hAnsi="楷体" w:hint="eastAsia"/>
          <w:sz w:val="32"/>
          <w:szCs w:val="32"/>
        </w:rPr>
        <w:t>与职普融通</w:t>
      </w:r>
      <w:proofErr w:type="gramEnd"/>
      <w:r>
        <w:rPr>
          <w:rFonts w:ascii="仿宋_GB2312" w:eastAsia="仿宋_GB2312" w:hAnsi="楷体" w:hint="eastAsia"/>
          <w:sz w:val="32"/>
          <w:szCs w:val="32"/>
        </w:rPr>
        <w:t>内在一致性解释框架；（</w:t>
      </w:r>
      <w:r>
        <w:rPr>
          <w:rFonts w:ascii="仿宋_GB2312" w:eastAsia="仿宋_GB2312" w:hAnsi="楷体"/>
          <w:sz w:val="32"/>
          <w:szCs w:val="32"/>
        </w:rPr>
        <w:t>2</w:t>
      </w:r>
      <w:r>
        <w:rPr>
          <w:rFonts w:ascii="仿宋_GB2312" w:eastAsia="仿宋_GB2312" w:hAnsi="楷体" w:hint="eastAsia"/>
          <w:sz w:val="32"/>
          <w:szCs w:val="32"/>
        </w:rPr>
        <w:t>）研究作为分流机制的中考改革问题；（</w:t>
      </w:r>
      <w:r>
        <w:rPr>
          <w:rFonts w:ascii="仿宋_GB2312" w:eastAsia="仿宋_GB2312" w:hAnsi="楷体"/>
          <w:sz w:val="32"/>
          <w:szCs w:val="32"/>
        </w:rPr>
        <w:t>3</w:t>
      </w:r>
      <w:r>
        <w:rPr>
          <w:rFonts w:ascii="仿宋_GB2312" w:eastAsia="仿宋_GB2312" w:hAnsi="楷体" w:hint="eastAsia"/>
          <w:sz w:val="32"/>
          <w:szCs w:val="32"/>
        </w:rPr>
        <w:t>）调研中等职业教育发展现状，提出转型发展思路；（</w:t>
      </w:r>
      <w:r>
        <w:rPr>
          <w:rFonts w:ascii="仿宋_GB2312" w:eastAsia="仿宋_GB2312" w:hAnsi="楷体"/>
          <w:sz w:val="32"/>
          <w:szCs w:val="32"/>
        </w:rPr>
        <w:t>4</w:t>
      </w:r>
      <w:r>
        <w:rPr>
          <w:rFonts w:ascii="仿宋_GB2312" w:eastAsia="仿宋_GB2312" w:hAnsi="楷体" w:hint="eastAsia"/>
          <w:sz w:val="32"/>
          <w:szCs w:val="32"/>
        </w:rPr>
        <w:t>）</w:t>
      </w:r>
      <w:proofErr w:type="gramStart"/>
      <w:r>
        <w:rPr>
          <w:rFonts w:ascii="仿宋_GB2312" w:eastAsia="仿宋_GB2312" w:hAnsi="楷体" w:hint="eastAsia"/>
          <w:sz w:val="32"/>
          <w:szCs w:val="32"/>
        </w:rPr>
        <w:t>研究职普学分</w:t>
      </w:r>
      <w:proofErr w:type="gramEnd"/>
      <w:r>
        <w:rPr>
          <w:rFonts w:ascii="仿宋_GB2312" w:eastAsia="仿宋_GB2312" w:hAnsi="楷体" w:hint="eastAsia"/>
          <w:sz w:val="32"/>
          <w:szCs w:val="32"/>
        </w:rPr>
        <w:t>互认、学籍互转机制；（5）对综合高中办学实践开展系统调研，研究综合高中的办学标准和督导评估指标体系。</w:t>
      </w:r>
    </w:p>
    <w:p w14:paraId="7807150F" w14:textId="77777777" w:rsidR="00990772" w:rsidRDefault="00000000">
      <w:pPr>
        <w:spacing w:beforeLines="50" w:before="156" w:afterLines="50" w:after="156"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8.高等教育促进新质生产力发展的机制研究</w:t>
      </w:r>
    </w:p>
    <w:p w14:paraId="42BFC959" w14:textId="77777777" w:rsidR="00990772" w:rsidRDefault="00000000">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（1）分析高等教育促进新质生产力发展的机理与独特价值，建构理论模型；（2）评估当前高等教育与科技创新、产业变革融通发展的现状；（</w:t>
      </w:r>
      <w:r>
        <w:rPr>
          <w:rFonts w:ascii="仿宋_GB2312" w:eastAsia="仿宋_GB2312" w:hAnsi="楷体"/>
          <w:sz w:val="32"/>
          <w:szCs w:val="32"/>
        </w:rPr>
        <w:t>3</w:t>
      </w:r>
      <w:r>
        <w:rPr>
          <w:rFonts w:ascii="仿宋_GB2312" w:eastAsia="仿宋_GB2312" w:hAnsi="楷体" w:hint="eastAsia"/>
          <w:sz w:val="32"/>
          <w:szCs w:val="32"/>
        </w:rPr>
        <w:t>）研究完善高等职业教育产教融合的培养模式；（</w:t>
      </w:r>
      <w:r>
        <w:rPr>
          <w:rFonts w:ascii="仿宋_GB2312" w:eastAsia="仿宋_GB2312" w:hAnsi="楷体"/>
          <w:sz w:val="32"/>
          <w:szCs w:val="32"/>
        </w:rPr>
        <w:t>4</w:t>
      </w:r>
      <w:r>
        <w:rPr>
          <w:rFonts w:ascii="仿宋_GB2312" w:eastAsia="仿宋_GB2312" w:hAnsi="楷体" w:hint="eastAsia"/>
          <w:sz w:val="32"/>
          <w:szCs w:val="32"/>
        </w:rPr>
        <w:t>）提出研究生教育规模结构调整、学科专业布局优化的思路。</w:t>
      </w:r>
    </w:p>
    <w:p w14:paraId="529C408F"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9.高等教育人才供需适配机制研究</w:t>
      </w:r>
    </w:p>
    <w:p w14:paraId="4F659700" w14:textId="77777777" w:rsidR="00990772" w:rsidRDefault="00000000">
      <w:pPr>
        <w:pStyle w:val="1"/>
        <w:ind w:firstLine="643"/>
        <w:rPr>
          <w:rFonts w:hAnsi="楷体" w:hint="default"/>
        </w:rPr>
      </w:pPr>
      <w:r>
        <w:rPr>
          <w:rFonts w:ascii="楷体_GB2312" w:eastAsia="楷体_GB2312" w:hAnsi="楷体_GB2312" w:cs="楷体_GB2312"/>
          <w:b/>
          <w:bCs/>
        </w:rPr>
        <w:t>指南意图：</w:t>
      </w:r>
      <w:r>
        <w:rPr>
          <w:rFonts w:hAnsi="楷体"/>
        </w:rPr>
        <w:t>（1）分析我国高等教育人才供需适配现状；（2）研究西方主要发达国家高等教育人才供需</w:t>
      </w:r>
      <w:proofErr w:type="gramStart"/>
      <w:r>
        <w:rPr>
          <w:rFonts w:hAnsi="楷体"/>
        </w:rPr>
        <w:t>适</w:t>
      </w:r>
      <w:proofErr w:type="gramEnd"/>
      <w:r>
        <w:rPr>
          <w:rFonts w:hAnsi="楷体"/>
        </w:rPr>
        <w:t>配方式；（3）分析国际人才竞争态势；（</w:t>
      </w:r>
      <w:r>
        <w:rPr>
          <w:rFonts w:hAnsi="楷体" w:hint="default"/>
        </w:rPr>
        <w:t>4</w:t>
      </w:r>
      <w:r>
        <w:rPr>
          <w:rFonts w:hAnsi="楷体"/>
        </w:rPr>
        <w:t>）分析我国战略人才、科技领军人才、青年科技人才、卓越工程师等人才发展趋势；（5）提</w:t>
      </w:r>
      <w:r>
        <w:rPr>
          <w:rFonts w:hAnsi="楷体"/>
        </w:rPr>
        <w:lastRenderedPageBreak/>
        <w:t>出高等教育学科设置动态调整优化建议；（6）提出国家人才供需对接数据库建设方案。</w:t>
      </w:r>
    </w:p>
    <w:p w14:paraId="075EA7CE"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10</w:t>
      </w:r>
      <w:r>
        <w:rPr>
          <w:rFonts w:ascii="华文中宋" w:eastAsia="华文中宋" w:hAnsi="华文中宋" w:cs="华文中宋" w:hint="default"/>
        </w:rPr>
        <w:t>.</w:t>
      </w:r>
      <w:r>
        <w:rPr>
          <w:rFonts w:ascii="华文中宋" w:eastAsia="华文中宋" w:hAnsi="华文中宋" w:cs="华文中宋"/>
        </w:rPr>
        <w:t>大科学时代高校高层次人才集聚模式创新研究</w:t>
      </w:r>
    </w:p>
    <w:p w14:paraId="55584447" w14:textId="77777777" w:rsidR="00990772" w:rsidRDefault="00000000">
      <w:pPr>
        <w:pStyle w:val="1"/>
        <w:ind w:firstLine="643"/>
        <w:rPr>
          <w:rFonts w:hAnsi="楷体" w:hint="default"/>
        </w:rPr>
      </w:pPr>
      <w:r>
        <w:rPr>
          <w:rFonts w:ascii="楷体_GB2312" w:eastAsia="楷体_GB2312" w:hAnsi="楷体_GB2312" w:cs="楷体_GB2312"/>
          <w:b/>
          <w:bCs/>
        </w:rPr>
        <w:t>指南意图：</w:t>
      </w:r>
      <w:r>
        <w:rPr>
          <w:rFonts w:hAnsi="楷体"/>
        </w:rPr>
        <w:t>（1）分析当前我国高校高层次人才集聚模式的现状；（</w:t>
      </w:r>
      <w:r>
        <w:rPr>
          <w:rFonts w:hAnsi="楷体" w:hint="default"/>
        </w:rPr>
        <w:t>2</w:t>
      </w:r>
      <w:r>
        <w:rPr>
          <w:rFonts w:hAnsi="楷体"/>
        </w:rPr>
        <w:t>）研究国际著名高校高层次人才集聚的模式；（3）我国高校发起大科学计划集聚高层次人才的案例分析；（4）对高校科研环境与国际高层次人才流动进行相关分析；（5）提出大科学时代高校在参与人才高地过程中集聚高层次人才的创新模式。</w:t>
      </w:r>
    </w:p>
    <w:p w14:paraId="36404BB5"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11.全球数字教育发展水平评估研究</w:t>
      </w:r>
    </w:p>
    <w:p w14:paraId="5BA53884" w14:textId="77777777" w:rsidR="00990772" w:rsidRDefault="00000000">
      <w:pPr>
        <w:spacing w:beforeLines="50" w:before="156" w:afterLines="50" w:after="156" w:line="600" w:lineRule="exact"/>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建构全球数字教育发展水平的评价指标体系；（2）综合测算全球数字教育发展水平指数；（3）分学段测算全球数字教育发展水平指数；（4）总结全球数字教育发展的国际经验；（5）提出我国数字教育深入发展的政策建议。</w:t>
      </w:r>
    </w:p>
    <w:p w14:paraId="6C761104"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12.技术维度的教育</w:t>
      </w:r>
      <w:proofErr w:type="gramStart"/>
      <w:r>
        <w:rPr>
          <w:rFonts w:ascii="华文中宋" w:eastAsia="华文中宋" w:hAnsi="华文中宋" w:cs="华文中宋"/>
        </w:rPr>
        <w:t>变革史</w:t>
      </w:r>
      <w:proofErr w:type="gramEnd"/>
      <w:r>
        <w:rPr>
          <w:rFonts w:ascii="华文中宋" w:eastAsia="华文中宋" w:hAnsi="华文中宋" w:cs="华文中宋"/>
        </w:rPr>
        <w:t>研究</w:t>
      </w:r>
    </w:p>
    <w:p w14:paraId="0877CA55" w14:textId="77777777" w:rsidR="00990772" w:rsidRDefault="00000000">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：（1）研究教育领域从口传到人工智能的技术演进史；（2）研究不同时期技术对教育产生影响的具体过程；（3）研究不同时期技术对教育形态的改变；（4）揭示技术改变教育的机理。</w:t>
      </w:r>
    </w:p>
    <w:p w14:paraId="7699C65D"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13.支撑教育强国建设的战略性投入机制研究</w:t>
      </w:r>
    </w:p>
    <w:p w14:paraId="045BD36D" w14:textId="77777777" w:rsidR="00990772" w:rsidRDefault="00000000">
      <w:pPr>
        <w:spacing w:beforeLines="50" w:before="156" w:afterLines="50" w:after="156" w:line="600" w:lineRule="exact"/>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lastRenderedPageBreak/>
        <w:t>指南意图：</w:t>
      </w:r>
      <w:r>
        <w:rPr>
          <w:rFonts w:ascii="仿宋_GB2312" w:eastAsia="仿宋_GB2312" w:hAnsi="楷体" w:hint="eastAsia"/>
          <w:sz w:val="32"/>
          <w:szCs w:val="32"/>
        </w:rPr>
        <w:t>（1）分析现行教育投入政策及其效应；（2）比较人口大国宏观税负水平；（3）研究当前世界教育强国总投入和财政投入情况；（4）结合未来12年我国人口、经济、社会、财政等发展趋势，论证提出新的教育投入强度目标、投入结构;（5）细化建设周期重大节点的阶段性投入目标；（6）提出完善与GDP同步增长的财政教育投入机制的建议。</w:t>
      </w:r>
    </w:p>
    <w:p w14:paraId="51CAB6F7" w14:textId="77777777" w:rsidR="00990772" w:rsidRDefault="00000000">
      <w:pPr>
        <w:pStyle w:val="1"/>
        <w:rPr>
          <w:rFonts w:ascii="华文中宋" w:eastAsia="华文中宋" w:hAnsi="华文中宋" w:cs="华文中宋" w:hint="default"/>
        </w:rPr>
      </w:pPr>
      <w:r>
        <w:rPr>
          <w:rFonts w:ascii="华文中宋" w:eastAsia="华文中宋" w:hAnsi="华文中宋" w:cs="华文中宋"/>
        </w:rPr>
        <w:t>14.世界重要教育中心建设研究</w:t>
      </w:r>
    </w:p>
    <w:p w14:paraId="68DA0EAD" w14:textId="77777777" w:rsidR="00990772" w:rsidRDefault="00000000">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1）研究世界重要教育中心的基本内涵与判断标准；（2）研究世界重要教育中心的发展历史；（3）研究世界重要教育中心与科技中心、人才中心的关系；（4）研究世界重要教育中心形成过程中的重大政策和关键举措；（5）提出我国建设世界重要教育中心的综合方案。</w:t>
      </w:r>
    </w:p>
    <w:p w14:paraId="1071E0BC" w14:textId="77777777" w:rsidR="00990772" w:rsidRDefault="00990772"/>
    <w:sectPr w:rsidR="009907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8344" w14:textId="77777777" w:rsidR="00FF0923" w:rsidRDefault="00FF0923">
      <w:r>
        <w:separator/>
      </w:r>
    </w:p>
  </w:endnote>
  <w:endnote w:type="continuationSeparator" w:id="0">
    <w:p w14:paraId="75DF4972" w14:textId="77777777" w:rsidR="00FF0923" w:rsidRDefault="00FF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D818" w14:textId="77777777" w:rsidR="00990772" w:rsidRDefault="00000000">
    <w:pPr>
      <w:pStyle w:val="a4"/>
    </w:pPr>
    <w:r>
      <w:rPr>
        <w:noProof/>
      </w:rPr>
      <mc:AlternateContent>
        <mc:Choice Requires="wps">
          <w:drawing>
            <wp:anchor distT="0" distB="0" distL="114300" distR="114300" simplePos="0" relativeHeight="251659264" behindDoc="0" locked="0" layoutInCell="1" allowOverlap="1" wp14:anchorId="0473F41D" wp14:editId="6F68B0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4D357" w14:textId="77777777" w:rsidR="00990772"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73F41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54D357" w14:textId="77777777" w:rsidR="00990772"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A36FE" w14:textId="77777777" w:rsidR="00FF0923" w:rsidRDefault="00FF0923">
      <w:r>
        <w:separator/>
      </w:r>
    </w:p>
  </w:footnote>
  <w:footnote w:type="continuationSeparator" w:id="0">
    <w:p w14:paraId="3A732DAE" w14:textId="77777777" w:rsidR="00FF0923" w:rsidRDefault="00FF0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EwZDI0ODAxODY5MzM4ZjBlMzc2OGZkZTYzMzNhMjEifQ=="/>
  </w:docVars>
  <w:rsids>
    <w:rsidRoot w:val="383868AC"/>
    <w:rsid w:val="003942B3"/>
    <w:rsid w:val="00990772"/>
    <w:rsid w:val="00FF0923"/>
    <w:rsid w:val="12245AF8"/>
    <w:rsid w:val="141B0041"/>
    <w:rsid w:val="146756AF"/>
    <w:rsid w:val="17456FBD"/>
    <w:rsid w:val="19A277FE"/>
    <w:rsid w:val="236950F8"/>
    <w:rsid w:val="254E083A"/>
    <w:rsid w:val="30F1651D"/>
    <w:rsid w:val="383868AC"/>
    <w:rsid w:val="41797DF0"/>
    <w:rsid w:val="452B604A"/>
    <w:rsid w:val="460C19D8"/>
    <w:rsid w:val="62944DA4"/>
    <w:rsid w:val="6E4E7035"/>
    <w:rsid w:val="70657DB3"/>
    <w:rsid w:val="70CB7673"/>
    <w:rsid w:val="763C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44BF4"/>
  <w15:docId w15:val="{467E015E-41C5-4B8A-8F5F-79BBF4A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a"/>
    <w:autoRedefine/>
    <w:qFormat/>
    <w:pPr>
      <w:spacing w:line="360" w:lineRule="auto"/>
      <w:ind w:firstLineChars="200" w:firstLine="640"/>
    </w:pPr>
    <w:rPr>
      <w:rFonts w:ascii="仿宋_GB2312" w:eastAsia="仿宋_GB2312" w:hAnsi="仿宋_GB2312"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科研处文科办</cp:lastModifiedBy>
  <cp:revision>1</cp:revision>
  <cp:lastPrinted>2024-04-23T09:28:00Z</cp:lastPrinted>
  <dcterms:created xsi:type="dcterms:W3CDTF">2024-04-07T01:09:00Z</dcterms:created>
  <dcterms:modified xsi:type="dcterms:W3CDTF">2024-05-07T08:39:00Z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9E3769D3777E4665B175074AECEA5875_11</vt:lpwstr>
  </property>
</Properties>
</file>